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39" w:rsidRPr="004C3EF2" w:rsidRDefault="00E93639" w:rsidP="00E93639">
      <w:pPr>
        <w:pBdr>
          <w:top w:val="dotted" w:sz="2" w:space="10" w:color="632423"/>
          <w:bottom w:val="dotted" w:sz="2" w:space="6" w:color="632423"/>
        </w:pBdr>
        <w:spacing w:after="0" w:line="240" w:lineRule="auto"/>
        <w:ind w:hanging="22"/>
        <w:jc w:val="center"/>
        <w:rPr>
          <w:rFonts w:ascii="Arial" w:eastAsia="Batang" w:hAnsi="Arial" w:cs="Arial"/>
          <w:b/>
          <w:caps/>
          <w:color w:val="622423"/>
          <w:spacing w:val="5"/>
          <w:sz w:val="40"/>
          <w:szCs w:val="40"/>
          <w:lang w:val="pt-BR"/>
        </w:rPr>
      </w:pPr>
      <w:r w:rsidRPr="004C3EF2">
        <w:rPr>
          <w:rFonts w:ascii="Arial" w:eastAsia="Batang" w:hAnsi="Arial" w:cs="Arial"/>
          <w:b/>
          <w:caps/>
          <w:color w:val="622423"/>
          <w:spacing w:val="5"/>
          <w:sz w:val="40"/>
          <w:szCs w:val="40"/>
          <w:lang w:val="pt-BR"/>
        </w:rPr>
        <w:t>ASSESSORIA CONTÁBIL</w:t>
      </w:r>
    </w:p>
    <w:p w:rsidR="00E93639" w:rsidRPr="004C3EF2" w:rsidRDefault="00E93639" w:rsidP="00E93639">
      <w:pPr>
        <w:spacing w:after="0" w:line="240" w:lineRule="auto"/>
        <w:ind w:firstLine="540"/>
        <w:jc w:val="center"/>
        <w:rPr>
          <w:rFonts w:ascii="Arial" w:eastAsia="Batang" w:hAnsi="Arial" w:cs="Arial"/>
          <w:b/>
          <w:lang w:val="pt-BR"/>
        </w:rPr>
      </w:pPr>
    </w:p>
    <w:p w:rsidR="00E93639" w:rsidRDefault="00E93639" w:rsidP="00E93639">
      <w:pPr>
        <w:spacing w:after="0" w:line="240" w:lineRule="auto"/>
        <w:jc w:val="center"/>
        <w:rPr>
          <w:rFonts w:ascii="Arial" w:eastAsia="Batang" w:hAnsi="Arial" w:cs="Arial"/>
          <w:b/>
          <w:sz w:val="32"/>
          <w:szCs w:val="32"/>
          <w:lang w:val="pt-BR"/>
        </w:rPr>
      </w:pPr>
      <w:r w:rsidRPr="004C3EF2">
        <w:rPr>
          <w:rFonts w:ascii="Arial" w:eastAsia="Batang" w:hAnsi="Arial" w:cs="Arial"/>
          <w:b/>
          <w:sz w:val="32"/>
          <w:szCs w:val="32"/>
          <w:lang w:val="pt-BR"/>
        </w:rPr>
        <w:t xml:space="preserve">PARECER AO PROJETO DE LEI Nº </w:t>
      </w:r>
      <w:r>
        <w:rPr>
          <w:rFonts w:ascii="Arial" w:eastAsia="Batang" w:hAnsi="Arial" w:cs="Arial"/>
          <w:b/>
          <w:sz w:val="32"/>
          <w:szCs w:val="32"/>
          <w:lang w:val="pt-BR"/>
        </w:rPr>
        <w:t>190</w:t>
      </w:r>
      <w:r w:rsidRPr="004C3EF2">
        <w:rPr>
          <w:rFonts w:ascii="Arial" w:eastAsia="Batang" w:hAnsi="Arial" w:cs="Arial"/>
          <w:b/>
          <w:sz w:val="32"/>
          <w:szCs w:val="32"/>
          <w:lang w:val="pt-BR"/>
        </w:rPr>
        <w:t>/201</w:t>
      </w:r>
      <w:r>
        <w:rPr>
          <w:rFonts w:ascii="Arial" w:eastAsia="Batang" w:hAnsi="Arial" w:cs="Arial"/>
          <w:b/>
          <w:sz w:val="32"/>
          <w:szCs w:val="32"/>
          <w:lang w:val="pt-BR"/>
        </w:rPr>
        <w:t>9</w:t>
      </w:r>
    </w:p>
    <w:p w:rsidR="00E93639" w:rsidRDefault="00E93639" w:rsidP="00E936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E93639" w:rsidRPr="00311A7D" w:rsidRDefault="00E93639" w:rsidP="00E936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E93639" w:rsidRDefault="00E93639" w:rsidP="00E9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F948CB">
        <w:rPr>
          <w:rFonts w:ascii="Arial" w:hAnsi="Arial" w:cs="Arial"/>
          <w:sz w:val="24"/>
          <w:szCs w:val="24"/>
          <w:lang w:val="pt-BR"/>
        </w:rPr>
        <w:t xml:space="preserve">Busca o Executivo Municipal, através do </w:t>
      </w:r>
      <w:r w:rsidRPr="00F948CB">
        <w:rPr>
          <w:rFonts w:ascii="Arial" w:hAnsi="Arial" w:cs="Arial"/>
          <w:b/>
          <w:sz w:val="24"/>
          <w:szCs w:val="24"/>
          <w:lang w:val="pt-BR"/>
        </w:rPr>
        <w:t xml:space="preserve">Projeto de Lei nº </w:t>
      </w:r>
      <w:r>
        <w:rPr>
          <w:rFonts w:ascii="Arial" w:hAnsi="Arial" w:cs="Arial"/>
          <w:b/>
          <w:sz w:val="24"/>
          <w:szCs w:val="24"/>
          <w:lang w:val="pt-BR"/>
        </w:rPr>
        <w:t>190</w:t>
      </w:r>
      <w:r w:rsidRPr="00F948CB">
        <w:rPr>
          <w:rFonts w:ascii="Arial" w:hAnsi="Arial" w:cs="Arial"/>
          <w:b/>
          <w:sz w:val="24"/>
          <w:szCs w:val="24"/>
          <w:lang w:val="pt-BR"/>
        </w:rPr>
        <w:t>/2019,</w:t>
      </w:r>
      <w:r w:rsidRPr="00F948CB">
        <w:rPr>
          <w:rFonts w:ascii="Arial" w:hAnsi="Arial" w:cs="Arial"/>
          <w:sz w:val="24"/>
          <w:szCs w:val="24"/>
          <w:lang w:val="pt-BR"/>
        </w:rPr>
        <w:t xml:space="preserve"> obter autorização Legislativa para abrir </w:t>
      </w:r>
      <w:r w:rsidRPr="00F948CB">
        <w:rPr>
          <w:rFonts w:ascii="Arial" w:hAnsi="Arial" w:cs="Arial"/>
          <w:b/>
          <w:sz w:val="24"/>
          <w:szCs w:val="24"/>
          <w:lang w:val="pt-BR"/>
        </w:rPr>
        <w:t>Crédito Especial</w:t>
      </w:r>
      <w:r w:rsidRPr="00F948CB">
        <w:rPr>
          <w:rFonts w:ascii="Arial" w:hAnsi="Arial" w:cs="Arial"/>
          <w:sz w:val="24"/>
          <w:szCs w:val="24"/>
          <w:lang w:val="pt-BR"/>
        </w:rPr>
        <w:t xml:space="preserve"> no exercício de 2019, no valor de R$ </w:t>
      </w:r>
    </w:p>
    <w:p w:rsidR="00E93639" w:rsidRDefault="00E93639" w:rsidP="00E93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E05FCA">
        <w:rPr>
          <w:rFonts w:ascii="Arial" w:hAnsi="Arial" w:cs="Arial"/>
          <w:sz w:val="24"/>
          <w:szCs w:val="24"/>
          <w:lang w:val="pt-BR"/>
        </w:rPr>
        <w:t>105.920,00 (cento e cinco mil novecentos e vinte reais).</w:t>
      </w:r>
    </w:p>
    <w:p w:rsidR="00E93639" w:rsidRPr="00311A7D" w:rsidRDefault="00E93639" w:rsidP="00E93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93639" w:rsidRPr="00B8527D" w:rsidRDefault="00E93639" w:rsidP="00E9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311A7D">
        <w:rPr>
          <w:rFonts w:ascii="Arial" w:hAnsi="Arial" w:cs="Arial"/>
          <w:sz w:val="24"/>
          <w:szCs w:val="24"/>
          <w:lang w:val="pt-BR"/>
        </w:rPr>
        <w:t>O Projeto em análise acresce ao orçamento do Município de Pato Branco, dotação orçamentária não existente para o exercício de 2019, dentro da Secretaria</w:t>
      </w:r>
      <w:r>
        <w:rPr>
          <w:rFonts w:ascii="Arial" w:hAnsi="Arial" w:cs="Arial"/>
          <w:sz w:val="24"/>
          <w:szCs w:val="24"/>
          <w:lang w:val="pt-BR"/>
        </w:rPr>
        <w:t xml:space="preserve"> Municipal de Assistência Social,</w:t>
      </w:r>
      <w:r w:rsidRPr="00B8527D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para pagamento de despesas com outros serviços de terceiros - pessoa jurídica e </w:t>
      </w:r>
      <w:r w:rsidRPr="00B8527D">
        <w:rPr>
          <w:rFonts w:ascii="Arial" w:hAnsi="Arial" w:cs="Arial"/>
          <w:sz w:val="24"/>
          <w:szCs w:val="24"/>
          <w:lang w:val="pt-BR"/>
        </w:rPr>
        <w:t>tem como objetivo desenvolv</w:t>
      </w:r>
      <w:r>
        <w:rPr>
          <w:rFonts w:ascii="Arial" w:hAnsi="Arial" w:cs="Arial"/>
          <w:sz w:val="24"/>
          <w:szCs w:val="24"/>
          <w:lang w:val="pt-BR"/>
        </w:rPr>
        <w:t>er</w:t>
      </w:r>
      <w:r w:rsidRPr="00B8527D">
        <w:rPr>
          <w:rFonts w:ascii="Arial" w:hAnsi="Arial" w:cs="Arial"/>
          <w:sz w:val="24"/>
          <w:szCs w:val="24"/>
          <w:lang w:val="pt-BR"/>
        </w:rPr>
        <w:t xml:space="preserve"> oficinas de qualificação profissional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Pr="00B8527D">
        <w:rPr>
          <w:rFonts w:ascii="Arial" w:hAnsi="Arial" w:cs="Arial"/>
          <w:sz w:val="24"/>
          <w:szCs w:val="24"/>
          <w:lang w:val="pt-BR"/>
        </w:rPr>
        <w:t>famílias beneficiadas do Projeto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B8527D">
        <w:rPr>
          <w:rFonts w:ascii="Arial" w:hAnsi="Arial" w:cs="Arial"/>
          <w:sz w:val="24"/>
          <w:szCs w:val="24"/>
          <w:lang w:val="pt-BR"/>
        </w:rPr>
        <w:t>Habitacional Vila São Pedro, conforme esclarece mensagem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E93639" w:rsidRPr="00311A7D" w:rsidRDefault="00E93639" w:rsidP="00E9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311A7D">
        <w:rPr>
          <w:rFonts w:ascii="Arial" w:hAnsi="Arial" w:cs="Arial"/>
          <w:sz w:val="24"/>
          <w:szCs w:val="24"/>
          <w:lang w:val="pt-BR"/>
        </w:rPr>
        <w:t>A dotação orçamentária acima citada observa a especificações do Plano de Contas da Despesa para o Orçamento de 2019 do Tribunal de Contas do Estado do Paraná, conforme segue:</w:t>
      </w:r>
    </w:p>
    <w:tbl>
      <w:tblPr>
        <w:tblW w:w="93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47"/>
        <w:gridCol w:w="415"/>
        <w:gridCol w:w="435"/>
        <w:gridCol w:w="400"/>
        <w:gridCol w:w="415"/>
        <w:gridCol w:w="1879"/>
        <w:gridCol w:w="4956"/>
      </w:tblGrid>
      <w:tr w:rsidR="00E93639" w:rsidRPr="00C77CF2" w:rsidTr="0006063D">
        <w:trPr>
          <w:trHeight w:val="307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90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39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00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 w:bidi="ar-SA"/>
              </w:rPr>
              <w:t>OUTROS SERVIÇOS DE TERCEIROS - PESSOA JURÍDICA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39" w:rsidRPr="00C77CF2" w:rsidRDefault="00E93639" w:rsidP="0006063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 w:eastAsia="pt-BR" w:bidi="ar-SA"/>
              </w:rPr>
            </w:pPr>
            <w:r w:rsidRPr="00C77CF2">
              <w:rPr>
                <w:rFonts w:ascii="Arial" w:hAnsi="Arial" w:cs="Arial"/>
                <w:color w:val="000000"/>
                <w:sz w:val="16"/>
                <w:szCs w:val="16"/>
                <w:lang w:val="pt-BR" w:eastAsia="pt-BR" w:bidi="ar-SA"/>
              </w:rPr>
              <w:t>Despesas orçamentárias decorrentes da prestação de serviços por pessoas jurídicas para órgãos públicos, exceto as relativas aos Serviços de Tecnologia de Informação e Comunicação - TIC, tais como: assinaturas de jornais e periódicos; tarifas de energia elétrica, gás, água e esgoto; serviços de comunicação (telex, correios, telefonia fixa e móvel, que não integrem pacote de comunicação de dados); fretes e carretos; locação de imóveis (inclusive despesas de condomínio e tributos à conta do locatário, quando previstos no contrato de locação); locação de equipamentos e materiais permanentes; conservação e adaptação de bens imóveis; seguros em geral (exceto os decorrentes de obrigação patronal); serviços de asseio e higiene; serviços de divulgação, simpósios, conferências ou exposições; vale-refeição; auxílio-creche (exclusive a indenização a servidor); e outros congêneres, bem como os encargos resultantes do pagamento com atraso de obrigações não tributárias.</w:t>
            </w:r>
          </w:p>
        </w:tc>
      </w:tr>
    </w:tbl>
    <w:p w:rsidR="00E93639" w:rsidRPr="00311A7D" w:rsidRDefault="00E93639" w:rsidP="00E93639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:rsidR="00E93639" w:rsidRPr="00311A7D" w:rsidRDefault="00E93639" w:rsidP="00E93639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311A7D">
        <w:rPr>
          <w:rFonts w:ascii="Arial" w:hAnsi="Arial" w:cs="Arial"/>
          <w:snapToGrid w:val="0"/>
          <w:sz w:val="24"/>
          <w:szCs w:val="24"/>
          <w:lang w:val="pt-BR"/>
        </w:rPr>
        <w:t>A Lei nº. 4320/64 nos artigos 40, 41, inciso II ,42 e 43 tratam dos créditos adicionais especiais que assim expressam:</w:t>
      </w:r>
    </w:p>
    <w:p w:rsidR="00E93639" w:rsidRPr="00311A7D" w:rsidRDefault="00E93639" w:rsidP="00E93639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40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. São </w:t>
      </w:r>
      <w:r w:rsidRPr="00311A7D">
        <w:rPr>
          <w:rFonts w:ascii="Arial" w:eastAsia="Arial Unicode MS" w:hAnsi="Arial" w:cs="Arial"/>
          <w:b/>
          <w:i/>
          <w:iCs/>
          <w:sz w:val="24"/>
          <w:szCs w:val="24"/>
          <w:lang w:val="pt-BR"/>
        </w:rPr>
        <w:t>créditos adicionais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>, as autorizações de despesa não computadas ou insuficientemente dotadas na Lei de Orçamento.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41.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Os créditos adicionais classificam-se em: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II -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</w:t>
      </w:r>
      <w:proofErr w:type="gramStart"/>
      <w:r w:rsidRPr="00311A7D">
        <w:rPr>
          <w:rFonts w:ascii="Arial" w:eastAsia="Arial Unicode MS" w:hAnsi="Arial" w:cs="Arial"/>
          <w:b/>
          <w:i/>
          <w:iCs/>
          <w:sz w:val="24"/>
          <w:szCs w:val="24"/>
          <w:lang w:val="pt-BR"/>
        </w:rPr>
        <w:t>especiais</w:t>
      </w:r>
      <w:proofErr w:type="gramEnd"/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>, os destinados a despesas para as quais não haja dotação orçamentária específica; ”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42.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Os créditos suplementares e </w:t>
      </w:r>
      <w:r w:rsidRPr="00311A7D">
        <w:rPr>
          <w:rFonts w:ascii="Arial" w:eastAsia="Arial Unicode MS" w:hAnsi="Arial" w:cs="Arial"/>
          <w:b/>
          <w:i/>
          <w:iCs/>
          <w:sz w:val="24"/>
          <w:szCs w:val="24"/>
          <w:lang w:val="pt-BR"/>
        </w:rPr>
        <w:t>especiais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serão autorizados por lei e abertos por decreto executivo”.</w:t>
      </w: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43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 xml:space="preserve"> A abertura dos créditos suplementares e especiais depende da existência de recursos disponíveis para ocorrer à despesa e será precedida de exposição justificativa.</w:t>
      </w: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lastRenderedPageBreak/>
        <w:t xml:space="preserve"> § 1º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>. Consideram-se recursos para o fim deste artigo, desde que não comprometidos: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 xml:space="preserve">II – </w:t>
      </w:r>
      <w:proofErr w:type="gramStart"/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os</w:t>
      </w:r>
      <w:proofErr w:type="gramEnd"/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 xml:space="preserve"> provenientes de excesso de arrecadação.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</w:pPr>
    </w:p>
    <w:p w:rsidR="00E93639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§ 3º.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 xml:space="preserve"> Entende-se por excesso de arrecadação, para os fins deste artigo, o saldo positivo das diferenças acumuladas mês a mês, entre a arrecadação prevista e a realizada, considerando-se, ainda, a tendência do exercício.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§ 4º.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 xml:space="preserve"> Para o fim de apurar os recursos utilizáveis, provenientes de excesso de arrecadação, deduzir-se-á a importância dos créditos extraordinários abertos no exercício.</w:t>
      </w:r>
    </w:p>
    <w:p w:rsidR="00E93639" w:rsidRPr="00311A7D" w:rsidRDefault="00E93639" w:rsidP="00E93639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E93639" w:rsidRPr="00311A7D" w:rsidRDefault="00E93639" w:rsidP="00E93639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311A7D">
        <w:rPr>
          <w:rFonts w:ascii="Arial" w:hAnsi="Arial" w:cs="Arial"/>
          <w:snapToGrid w:val="0"/>
          <w:sz w:val="24"/>
          <w:szCs w:val="24"/>
          <w:lang w:val="pt-BR"/>
        </w:rPr>
        <w:t>Como o crédito se relaciona com o orçamento anual as condições básicas para sua abertura é:</w:t>
      </w:r>
    </w:p>
    <w:p w:rsidR="00E93639" w:rsidRPr="00311A7D" w:rsidRDefault="00E93639" w:rsidP="00E9363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proofErr w:type="gramStart"/>
      <w:r w:rsidRPr="00311A7D">
        <w:rPr>
          <w:rFonts w:ascii="Arial" w:hAnsi="Arial" w:cs="Arial"/>
          <w:snapToGrid w:val="0"/>
          <w:sz w:val="24"/>
          <w:szCs w:val="24"/>
          <w:lang w:val="pt-BR"/>
        </w:rPr>
        <w:t>a</w:t>
      </w:r>
      <w:proofErr w:type="gramEnd"/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 prévia autorização legislativa e</w:t>
      </w:r>
    </w:p>
    <w:p w:rsidR="00E93639" w:rsidRPr="00311A7D" w:rsidRDefault="00E93639" w:rsidP="00E9363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proofErr w:type="gramStart"/>
      <w:r w:rsidRPr="00311A7D">
        <w:rPr>
          <w:rFonts w:ascii="Arial" w:hAnsi="Arial" w:cs="Arial"/>
          <w:snapToGrid w:val="0"/>
          <w:sz w:val="24"/>
          <w:szCs w:val="24"/>
          <w:lang w:val="pt-BR"/>
        </w:rPr>
        <w:t>a</w:t>
      </w:r>
      <w:proofErr w:type="gramEnd"/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 indicação de recursos.</w:t>
      </w:r>
    </w:p>
    <w:p w:rsidR="00E93639" w:rsidRDefault="00E93639" w:rsidP="00E93639">
      <w:pPr>
        <w:autoSpaceDE w:val="0"/>
        <w:autoSpaceDN w:val="0"/>
        <w:adjustRightInd w:val="0"/>
        <w:spacing w:after="0" w:line="240" w:lineRule="auto"/>
        <w:ind w:left="720" w:right="708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E93639" w:rsidRPr="00311A7D" w:rsidRDefault="00E93639" w:rsidP="00E93639">
      <w:pPr>
        <w:spacing w:after="0" w:line="240" w:lineRule="auto"/>
        <w:ind w:firstLine="720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Conforme indicado à cobertura se dará pela utilização de </w:t>
      </w:r>
      <w:r w:rsidRPr="00311A7D">
        <w:rPr>
          <w:rFonts w:ascii="Arial" w:hAnsi="Arial" w:cs="Arial"/>
          <w:b/>
          <w:snapToGrid w:val="0"/>
          <w:sz w:val="24"/>
          <w:szCs w:val="24"/>
          <w:lang w:val="pt-BR"/>
        </w:rPr>
        <w:t>Excesso de Arrecadação</w:t>
      </w:r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 da Fonte de Recurso Vinculado não prevista na Lei Orçamentária do Exercício de 2019, com base no que disciplina os parágrafos 1º, inciso II e 3º e 4º do art.43 da Lei 4320/64, conforme </w:t>
      </w:r>
      <w:r w:rsidRPr="00311A7D">
        <w:rPr>
          <w:rFonts w:ascii="Arial" w:hAnsi="Arial" w:cs="Arial"/>
          <w:b/>
          <w:snapToGrid w:val="0"/>
          <w:sz w:val="24"/>
          <w:szCs w:val="24"/>
          <w:lang w:val="pt-BR"/>
        </w:rPr>
        <w:t>Fonte:</w:t>
      </w:r>
    </w:p>
    <w:p w:rsidR="00E93639" w:rsidRPr="00E71A3A" w:rsidRDefault="00E93639" w:rsidP="00E9363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Batang" w:hAnsi="Arial" w:cs="Arial"/>
          <w:color w:val="1D1B1C"/>
          <w:sz w:val="20"/>
          <w:szCs w:val="20"/>
          <w:lang w:val="pt-BR" w:eastAsia="pt-BR" w:bidi="ar-SA"/>
        </w:rPr>
      </w:pPr>
    </w:p>
    <w:p w:rsidR="00E93639" w:rsidRPr="00B8527D" w:rsidRDefault="00E93639" w:rsidP="00E936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338"/>
        <w:jc w:val="both"/>
        <w:rPr>
          <w:rFonts w:ascii="Arial" w:eastAsia="Batang" w:hAnsi="Arial" w:cs="Arial"/>
          <w:b/>
          <w:color w:val="1C1B1B"/>
          <w:sz w:val="24"/>
          <w:szCs w:val="24"/>
          <w:lang w:val="pt-BR" w:eastAsia="pt-BR" w:bidi="ar-SA"/>
        </w:rPr>
      </w:pPr>
      <w:r w:rsidRPr="00B8527D">
        <w:rPr>
          <w:rFonts w:ascii="Arial" w:eastAsia="Batang" w:hAnsi="Arial" w:cs="Arial"/>
          <w:b/>
          <w:color w:val="1D1B1C"/>
          <w:sz w:val="24"/>
          <w:szCs w:val="24"/>
          <w:lang w:val="pt-BR" w:eastAsia="pt-BR" w:bidi="ar-SA"/>
        </w:rPr>
        <w:t>892 -  Projeto Técnico Social Loteamento Vila São Pedro</w:t>
      </w:r>
    </w:p>
    <w:p w:rsidR="00E93639" w:rsidRPr="00311A7D" w:rsidRDefault="00E93639" w:rsidP="00E93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olor w:val="1C1B1B"/>
          <w:sz w:val="24"/>
          <w:szCs w:val="24"/>
          <w:lang w:val="pt-BR" w:eastAsia="pt-BR" w:bidi="ar-SA"/>
        </w:rPr>
      </w:pPr>
    </w:p>
    <w:p w:rsidR="00E93639" w:rsidRPr="00F464C4" w:rsidRDefault="00E93639" w:rsidP="00E93639">
      <w:pPr>
        <w:tabs>
          <w:tab w:val="left" w:pos="709"/>
          <w:tab w:val="decimal" w:leader="dot" w:pos="7380"/>
          <w:tab w:val="decimal" w:pos="9000"/>
        </w:tabs>
        <w:spacing w:after="0" w:line="240" w:lineRule="auto"/>
        <w:ind w:firstLine="851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64C4">
        <w:rPr>
          <w:rFonts w:ascii="Arial" w:hAnsi="Arial" w:cs="Arial"/>
          <w:snapToGrid w:val="0"/>
          <w:sz w:val="24"/>
          <w:szCs w:val="24"/>
          <w:lang w:val="pt-BR"/>
        </w:rPr>
        <w:t>Analisados os artigos 1º e 2º observamos que os mesmos devem encontrar-se dentro do que preceitua a matéria para a alteração orçamentária sugerida, uma vez que o Executivo deseja compatibilizar o Plano Plurianual - PPA e a Lei de Diretrizes Orçamentárias - LDO de 2018 com a Lei Orçamentária em vigor, observando que as três matérias orçamentárias obrigatoriamente devem estar ajustadas entre si.</w:t>
      </w:r>
    </w:p>
    <w:p w:rsidR="00E93639" w:rsidRPr="00F464C4" w:rsidRDefault="00E93639" w:rsidP="00E936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64C4">
        <w:rPr>
          <w:rFonts w:ascii="Arial" w:hAnsi="Arial" w:cs="Arial"/>
          <w:snapToGrid w:val="0"/>
          <w:sz w:val="24"/>
          <w:szCs w:val="24"/>
          <w:lang w:val="pt-BR"/>
        </w:rPr>
        <w:tab/>
      </w:r>
    </w:p>
    <w:p w:rsidR="00E93639" w:rsidRPr="00F464C4" w:rsidRDefault="00E93639" w:rsidP="00E936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64C4">
        <w:rPr>
          <w:rFonts w:ascii="Arial" w:hAnsi="Arial" w:cs="Arial"/>
          <w:snapToGrid w:val="0"/>
          <w:sz w:val="24"/>
          <w:szCs w:val="24"/>
          <w:lang w:val="pt-BR"/>
        </w:rPr>
        <w:t xml:space="preserve">O Projeto se encontra apto a seguir seu tramite normal, em conformidade com as normas que regem a matéria e com legislação específica no que for pertinente bem como com o que preceitua a Lei. </w:t>
      </w:r>
    </w:p>
    <w:p w:rsidR="00E93639" w:rsidRPr="00B57B31" w:rsidRDefault="00E93639" w:rsidP="00E93639">
      <w:pPr>
        <w:tabs>
          <w:tab w:val="left" w:pos="720"/>
          <w:tab w:val="decimal" w:leader="dot" w:pos="7380"/>
          <w:tab w:val="decimal" w:pos="9000"/>
        </w:tabs>
        <w:spacing w:after="0" w:line="240" w:lineRule="auto"/>
        <w:jc w:val="both"/>
        <w:rPr>
          <w:rFonts w:ascii="Arial" w:hAnsi="Arial" w:cs="Arial"/>
          <w:snapToGrid w:val="0"/>
          <w:lang w:val="pt-BR"/>
        </w:rPr>
      </w:pPr>
    </w:p>
    <w:p w:rsidR="00E93639" w:rsidRDefault="00E93639" w:rsidP="00E936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11A7D">
        <w:rPr>
          <w:rFonts w:ascii="Arial" w:hAnsi="Arial" w:cs="Arial"/>
          <w:sz w:val="24"/>
          <w:szCs w:val="24"/>
          <w:lang w:val="pt-BR"/>
        </w:rPr>
        <w:t xml:space="preserve">         É o parecer S.M.J.</w:t>
      </w:r>
    </w:p>
    <w:p w:rsidR="00A134C2" w:rsidRPr="00311A7D" w:rsidRDefault="00A134C2" w:rsidP="00E936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E93639" w:rsidRPr="00311A7D" w:rsidTr="0006063D">
        <w:trPr>
          <w:trHeight w:val="2205"/>
        </w:trPr>
        <w:tc>
          <w:tcPr>
            <w:tcW w:w="5070" w:type="dxa"/>
            <w:shd w:val="clear" w:color="auto" w:fill="auto"/>
          </w:tcPr>
          <w:p w:rsidR="00E93639" w:rsidRDefault="00E93639" w:rsidP="0006063D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  <w:r w:rsidRPr="00311A7D">
              <w:rPr>
                <w:rFonts w:ascii="Arial" w:hAnsi="Arial" w:cs="Arial"/>
                <w:sz w:val="24"/>
                <w:szCs w:val="24"/>
                <w:lang w:val="pt-BR"/>
              </w:rPr>
              <w:t xml:space="preserve">       Pato Branco,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4</w:t>
            </w:r>
            <w:r w:rsidRPr="00311A7D">
              <w:rPr>
                <w:rFonts w:ascii="Arial" w:hAnsi="Arial" w:cs="Arial"/>
                <w:sz w:val="24"/>
                <w:szCs w:val="24"/>
                <w:lang w:val="pt-BR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julho</w:t>
            </w:r>
            <w:r w:rsidRPr="00311A7D">
              <w:rPr>
                <w:rFonts w:ascii="Arial" w:hAnsi="Arial" w:cs="Arial"/>
                <w:sz w:val="24"/>
                <w:szCs w:val="24"/>
                <w:lang w:val="pt-BR"/>
              </w:rPr>
              <w:t xml:space="preserve"> de 2019.</w:t>
            </w:r>
          </w:p>
          <w:p w:rsidR="00E93639" w:rsidRDefault="00E93639" w:rsidP="0006063D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E93639" w:rsidRDefault="00E93639" w:rsidP="0006063D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A134C2" w:rsidRDefault="00A134C2" w:rsidP="0006063D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A134C2" w:rsidRPr="00311A7D" w:rsidRDefault="00A134C2" w:rsidP="0006063D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E93639" w:rsidRDefault="00E93639" w:rsidP="00E93639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  <w:lang w:val="pt-BR"/>
              </w:rPr>
            </w:pPr>
            <w:r w:rsidRPr="00311A7D"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  <w:t xml:space="preserve">                 </w:t>
            </w:r>
            <w:r w:rsidRPr="002E4FE6">
              <w:rPr>
                <w:rFonts w:ascii="Arial" w:hAnsi="Arial" w:cs="Arial"/>
                <w:i/>
                <w:noProof/>
                <w:sz w:val="24"/>
                <w:szCs w:val="24"/>
                <w:lang w:val="pt-BR" w:eastAsia="pt-BR" w:bidi="ar-SA"/>
              </w:rPr>
              <w:drawing>
                <wp:inline distT="0" distB="0" distL="0" distR="0" wp14:anchorId="3258844B" wp14:editId="08D7F67C">
                  <wp:extent cx="2651760" cy="701040"/>
                  <wp:effectExtent l="0" t="0" r="0" b="3810"/>
                  <wp:docPr id="1" name="Imagem 1" descr="D:\1 - CÂMARA MÁRCIA\Assinatura Márcia SAP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:\1 - CÂMARA MÁRCIA\Assinatura Márcia SAPL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639" w:rsidRPr="00311A7D" w:rsidRDefault="00E93639" w:rsidP="0006063D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432DAD" w:rsidRPr="00E93639" w:rsidRDefault="00432DAD" w:rsidP="00E93639"/>
    <w:sectPr w:rsidR="00432DAD" w:rsidRPr="00E93639" w:rsidSect="00D8145D">
      <w:headerReference w:type="default" r:id="rId6"/>
      <w:footerReference w:type="default" r:id="rId7"/>
      <w:pgSz w:w="11906" w:h="16838"/>
      <w:pgMar w:top="851" w:right="991" w:bottom="993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94" w:rsidRPr="00986FB2" w:rsidRDefault="00A134C2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  <w:r w:rsidRPr="00986FB2">
      <w:rPr>
        <w:rFonts w:ascii="Arial" w:hAnsi="Arial" w:cs="Arial"/>
        <w:sz w:val="16"/>
        <w:szCs w:val="16"/>
        <w:lang w:val="pt-BR"/>
      </w:rPr>
      <w:t xml:space="preserve">Rua </w:t>
    </w:r>
    <w:proofErr w:type="spellStart"/>
    <w:r w:rsidRPr="00986FB2">
      <w:rPr>
        <w:rFonts w:ascii="Arial" w:hAnsi="Arial" w:cs="Arial"/>
        <w:sz w:val="16"/>
        <w:szCs w:val="16"/>
        <w:lang w:val="pt-BR"/>
      </w:rPr>
      <w:t>Ararigbói</w:t>
    </w:r>
    <w:r w:rsidRPr="00986FB2">
      <w:rPr>
        <w:rFonts w:ascii="Arial" w:hAnsi="Arial" w:cs="Arial"/>
        <w:sz w:val="16"/>
        <w:szCs w:val="16"/>
        <w:lang w:val="pt-BR"/>
      </w:rPr>
      <w:t>a</w:t>
    </w:r>
    <w:proofErr w:type="spellEnd"/>
    <w:r w:rsidRPr="00986FB2">
      <w:rPr>
        <w:rFonts w:ascii="Arial" w:hAnsi="Arial" w:cs="Arial"/>
        <w:sz w:val="16"/>
        <w:szCs w:val="16"/>
        <w:lang w:val="pt-BR"/>
      </w:rPr>
      <w:t>, 491        -        Fone: (46) 3272-1500 / 3272-1549      -        85.501-262        -        Pato Branco        -        Paraná</w:t>
    </w:r>
  </w:p>
  <w:p w:rsidR="00175694" w:rsidRDefault="00A134C2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  <w:proofErr w:type="gramStart"/>
    <w:r w:rsidRPr="00986FB2">
      <w:rPr>
        <w:rFonts w:ascii="Arial" w:hAnsi="Arial" w:cs="Arial"/>
        <w:sz w:val="16"/>
        <w:szCs w:val="16"/>
        <w:lang w:val="pt-BR"/>
      </w:rPr>
      <w:t>e-mail</w:t>
    </w:r>
    <w:proofErr w:type="gramEnd"/>
    <w:r w:rsidRPr="00986FB2">
      <w:rPr>
        <w:rFonts w:ascii="Arial" w:hAnsi="Arial" w:cs="Arial"/>
        <w:sz w:val="16"/>
        <w:szCs w:val="16"/>
        <w:lang w:val="pt-BR"/>
      </w:rPr>
      <w:t xml:space="preserve">: </w:t>
    </w:r>
    <w:hyperlink r:id="rId1" w:history="1">
      <w:r w:rsidRPr="006B0C0A">
        <w:rPr>
          <w:rStyle w:val="Hyperlink"/>
          <w:rFonts w:ascii="Arial" w:hAnsi="Arial" w:cs="Arial"/>
          <w:sz w:val="16"/>
          <w:szCs w:val="16"/>
          <w:lang w:val="pt-BR"/>
        </w:rPr>
        <w:t>marciarzanoelo@camarapatobranco.com.br</w:t>
      </w:r>
    </w:hyperlink>
    <w:r>
      <w:rPr>
        <w:rFonts w:ascii="Arial" w:hAnsi="Arial" w:cs="Arial"/>
        <w:sz w:val="16"/>
        <w:szCs w:val="16"/>
        <w:lang w:val="pt-BR"/>
      </w:rPr>
      <w:t xml:space="preserve"> ou </w:t>
    </w:r>
    <w:hyperlink r:id="rId2" w:history="1">
      <w:r w:rsidRPr="006B0C0A">
        <w:rPr>
          <w:rStyle w:val="Hyperlink"/>
          <w:rFonts w:ascii="Arial" w:hAnsi="Arial" w:cs="Arial"/>
          <w:sz w:val="16"/>
          <w:szCs w:val="16"/>
          <w:lang w:val="pt-BR"/>
        </w:rPr>
        <w:t>contabilidade@patobranco.pr.leg.br</w:t>
      </w:r>
    </w:hyperlink>
  </w:p>
  <w:p w:rsidR="00D8145D" w:rsidRDefault="00A134C2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</w:p>
  <w:p w:rsidR="00D8145D" w:rsidRPr="00986FB2" w:rsidRDefault="00A134C2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</w:p>
  <w:p w:rsidR="00175694" w:rsidRPr="00986FB2" w:rsidRDefault="00A134C2" w:rsidP="007536A5">
    <w:pPr>
      <w:pStyle w:val="Rodap"/>
      <w:jc w:val="center"/>
      <w:rPr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94" w:rsidRDefault="00E93639">
    <w:pPr>
      <w:pStyle w:val="Cabealho"/>
    </w:pPr>
    <w:r w:rsidRPr="000F65FB">
      <w:rPr>
        <w:noProof/>
        <w:lang w:val="pt-BR" w:eastAsia="pt-BR" w:bidi="ar-SA"/>
      </w:rPr>
      <w:drawing>
        <wp:inline distT="0" distB="0" distL="0" distR="0">
          <wp:extent cx="5394960" cy="746760"/>
          <wp:effectExtent l="0" t="0" r="0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16"/>
      </v:shape>
    </w:pict>
  </w:numPicBullet>
  <w:abstractNum w:abstractNumId="0" w15:restartNumberingAfterBreak="0">
    <w:nsid w:val="00CA766D"/>
    <w:multiLevelType w:val="hybridMultilevel"/>
    <w:tmpl w:val="2F1E1CB0"/>
    <w:lvl w:ilvl="0" w:tplc="0416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F92957"/>
    <w:multiLevelType w:val="hybridMultilevel"/>
    <w:tmpl w:val="53EE3A9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E67C3"/>
    <w:multiLevelType w:val="hybridMultilevel"/>
    <w:tmpl w:val="DCEA887C"/>
    <w:lvl w:ilvl="0" w:tplc="0416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81408E"/>
    <w:multiLevelType w:val="hybridMultilevel"/>
    <w:tmpl w:val="7940010A"/>
    <w:lvl w:ilvl="0" w:tplc="0416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713360"/>
    <w:multiLevelType w:val="hybridMultilevel"/>
    <w:tmpl w:val="5928E1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38A"/>
    <w:multiLevelType w:val="hybridMultilevel"/>
    <w:tmpl w:val="E56867D4"/>
    <w:lvl w:ilvl="0" w:tplc="0416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3A848BF"/>
    <w:multiLevelType w:val="hybridMultilevel"/>
    <w:tmpl w:val="2474F31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A4709"/>
    <w:multiLevelType w:val="hybridMultilevel"/>
    <w:tmpl w:val="B5843AE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28F8"/>
    <w:multiLevelType w:val="hybridMultilevel"/>
    <w:tmpl w:val="FDE4C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B783B"/>
    <w:multiLevelType w:val="hybridMultilevel"/>
    <w:tmpl w:val="80E43CA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31E1"/>
    <w:multiLevelType w:val="hybridMultilevel"/>
    <w:tmpl w:val="8A7E71B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F1581"/>
    <w:multiLevelType w:val="hybridMultilevel"/>
    <w:tmpl w:val="3E7458E4"/>
    <w:lvl w:ilvl="0" w:tplc="04160009">
      <w:start w:val="1"/>
      <w:numFmt w:val="bullet"/>
      <w:lvlText w:val=""/>
      <w:lvlPicBulletId w:val="0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E227F6D"/>
    <w:multiLevelType w:val="hybridMultilevel"/>
    <w:tmpl w:val="A5E016B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B93B68"/>
    <w:multiLevelType w:val="hybridMultilevel"/>
    <w:tmpl w:val="9A507C4E"/>
    <w:lvl w:ilvl="0" w:tplc="04160007">
      <w:start w:val="1"/>
      <w:numFmt w:val="bullet"/>
      <w:lvlText w:val=""/>
      <w:lvlPicBulletId w:val="0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3ABB479A"/>
    <w:multiLevelType w:val="hybridMultilevel"/>
    <w:tmpl w:val="5BE4D74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C0D18"/>
    <w:multiLevelType w:val="hybridMultilevel"/>
    <w:tmpl w:val="EC6C6FB8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570F01"/>
    <w:multiLevelType w:val="hybridMultilevel"/>
    <w:tmpl w:val="989AF9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364C9"/>
    <w:multiLevelType w:val="hybridMultilevel"/>
    <w:tmpl w:val="90D027A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D74BE"/>
    <w:multiLevelType w:val="hybridMultilevel"/>
    <w:tmpl w:val="F304A338"/>
    <w:lvl w:ilvl="0" w:tplc="0416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8381784"/>
    <w:multiLevelType w:val="hybridMultilevel"/>
    <w:tmpl w:val="9AA889FA"/>
    <w:lvl w:ilvl="0" w:tplc="04160009">
      <w:start w:val="1"/>
      <w:numFmt w:val="bullet"/>
      <w:lvlText w:val=""/>
      <w:lvlPicBulletId w:val="0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EEC452E"/>
    <w:multiLevelType w:val="hybridMultilevel"/>
    <w:tmpl w:val="5AD89E0E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BC5AA3"/>
    <w:multiLevelType w:val="hybridMultilevel"/>
    <w:tmpl w:val="B97C555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EC58F7"/>
    <w:multiLevelType w:val="hybridMultilevel"/>
    <w:tmpl w:val="6CFEA7EC"/>
    <w:lvl w:ilvl="0" w:tplc="0416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F87233"/>
    <w:multiLevelType w:val="hybridMultilevel"/>
    <w:tmpl w:val="CE24BF12"/>
    <w:lvl w:ilvl="0" w:tplc="0416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CFB0D27"/>
    <w:multiLevelType w:val="hybridMultilevel"/>
    <w:tmpl w:val="710652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94D36"/>
    <w:multiLevelType w:val="multilevel"/>
    <w:tmpl w:val="875AE98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70277"/>
    <w:multiLevelType w:val="hybridMultilevel"/>
    <w:tmpl w:val="8CDC7434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EF5E8E"/>
    <w:multiLevelType w:val="hybridMultilevel"/>
    <w:tmpl w:val="8AB6E6D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6"/>
  </w:num>
  <w:num w:numId="5">
    <w:abstractNumId w:val="20"/>
  </w:num>
  <w:num w:numId="6">
    <w:abstractNumId w:val="1"/>
  </w:num>
  <w:num w:numId="7">
    <w:abstractNumId w:val="8"/>
  </w:num>
  <w:num w:numId="8">
    <w:abstractNumId w:val="12"/>
  </w:num>
  <w:num w:numId="9">
    <w:abstractNumId w:val="17"/>
  </w:num>
  <w:num w:numId="10">
    <w:abstractNumId w:val="7"/>
  </w:num>
  <w:num w:numId="11">
    <w:abstractNumId w:val="16"/>
  </w:num>
  <w:num w:numId="12">
    <w:abstractNumId w:val="21"/>
  </w:num>
  <w:num w:numId="13">
    <w:abstractNumId w:val="10"/>
  </w:num>
  <w:num w:numId="14">
    <w:abstractNumId w:val="4"/>
  </w:num>
  <w:num w:numId="15">
    <w:abstractNumId w:val="2"/>
  </w:num>
  <w:num w:numId="16">
    <w:abstractNumId w:val="27"/>
  </w:num>
  <w:num w:numId="17">
    <w:abstractNumId w:val="18"/>
  </w:num>
  <w:num w:numId="18">
    <w:abstractNumId w:val="23"/>
  </w:num>
  <w:num w:numId="19">
    <w:abstractNumId w:val="24"/>
  </w:num>
  <w:num w:numId="20">
    <w:abstractNumId w:val="22"/>
  </w:num>
  <w:num w:numId="21">
    <w:abstractNumId w:val="0"/>
  </w:num>
  <w:num w:numId="22">
    <w:abstractNumId w:val="19"/>
  </w:num>
  <w:num w:numId="23">
    <w:abstractNumId w:val="11"/>
  </w:num>
  <w:num w:numId="24">
    <w:abstractNumId w:val="14"/>
  </w:num>
  <w:num w:numId="25">
    <w:abstractNumId w:val="15"/>
  </w:num>
  <w:num w:numId="26">
    <w:abstractNumId w:val="13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39"/>
    <w:rsid w:val="00432DAD"/>
    <w:rsid w:val="00A134C2"/>
    <w:rsid w:val="00E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D607-864D-4ED8-9E17-8D67BDF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39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2">
    <w:name w:val="heading 2"/>
    <w:basedOn w:val="Normal"/>
    <w:link w:val="Ttulo2Char"/>
    <w:uiPriority w:val="9"/>
    <w:qFormat/>
    <w:rsid w:val="00E936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36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363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3639"/>
    <w:rPr>
      <w:rFonts w:ascii="Cambria" w:eastAsia="Times New Roman" w:hAnsi="Cambria" w:cs="Times New Roman"/>
      <w:caps/>
      <w:color w:val="622423"/>
      <w:spacing w:val="5"/>
      <w:sz w:val="20"/>
      <w:szCs w:val="20"/>
      <w:lang w:val="en-US" w:bidi="en-US"/>
    </w:rPr>
  </w:style>
  <w:style w:type="paragraph" w:styleId="Recuodecorpodetexto2">
    <w:name w:val="Body Text Indent 2"/>
    <w:basedOn w:val="Normal"/>
    <w:link w:val="Recuodecorpodetexto2Char"/>
    <w:rsid w:val="00E93639"/>
    <w:pPr>
      <w:ind w:firstLine="708"/>
    </w:pPr>
    <w:rPr>
      <w:rFonts w:ascii="Bookman Old Style" w:hAnsi="Bookman Old Style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93639"/>
    <w:rPr>
      <w:rFonts w:ascii="Bookman Old Style" w:eastAsia="Times New Roman" w:hAnsi="Bookman Old Style" w:cs="Times New Roman"/>
      <w:szCs w:val="20"/>
      <w:lang w:val="en-US" w:bidi="en-US"/>
    </w:rPr>
  </w:style>
  <w:style w:type="paragraph" w:styleId="Recuodecorpodetexto">
    <w:name w:val="Body Text Indent"/>
    <w:basedOn w:val="Normal"/>
    <w:link w:val="RecuodecorpodetextoChar"/>
    <w:rsid w:val="00E93639"/>
    <w:pPr>
      <w:widowControl w:val="0"/>
      <w:jc w:val="both"/>
    </w:pPr>
    <w:rPr>
      <w:rFonts w:ascii="Lucida Console" w:hAnsi="Lucida Console"/>
      <w:i/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93639"/>
    <w:rPr>
      <w:rFonts w:ascii="Lucida Console" w:eastAsia="Times New Roman" w:hAnsi="Lucida Console" w:cs="Times New Roman"/>
      <w:i/>
      <w:snapToGrid w:val="0"/>
      <w:szCs w:val="20"/>
      <w:lang w:val="en-US" w:bidi="en-US"/>
    </w:rPr>
  </w:style>
  <w:style w:type="paragraph" w:styleId="Corpodetexto">
    <w:name w:val="Body Text"/>
    <w:basedOn w:val="Normal"/>
    <w:link w:val="CorpodetextoChar"/>
    <w:rsid w:val="00E93639"/>
    <w:pPr>
      <w:widowControl w:val="0"/>
      <w:spacing w:before="240"/>
      <w:jc w:val="both"/>
    </w:pPr>
    <w:rPr>
      <w:rFonts w:ascii="Courier New" w:hAnsi="Courier New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E93639"/>
    <w:rPr>
      <w:rFonts w:ascii="Courier New" w:eastAsia="Times New Roman" w:hAnsi="Courier New" w:cs="Times New Roman"/>
      <w:snapToGrid w:val="0"/>
      <w:szCs w:val="20"/>
      <w:lang w:val="en-US" w:bidi="en-US"/>
    </w:rPr>
  </w:style>
  <w:style w:type="paragraph" w:styleId="Recuodecorpodetexto3">
    <w:name w:val="Body Text Indent 3"/>
    <w:basedOn w:val="Normal"/>
    <w:link w:val="Recuodecorpodetexto3Char"/>
    <w:rsid w:val="00E93639"/>
    <w:pPr>
      <w:ind w:firstLine="72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E93639"/>
    <w:rPr>
      <w:rFonts w:ascii="Arial" w:eastAsia="Times New Roman" w:hAnsi="Arial" w:cs="Arial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E936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639"/>
    <w:rPr>
      <w:rFonts w:ascii="Cambria" w:eastAsia="Times New Roman" w:hAnsi="Cambria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E93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639"/>
    <w:rPr>
      <w:rFonts w:ascii="Cambria" w:eastAsia="Times New Roman" w:hAnsi="Cambria" w:cs="Times New Roman"/>
      <w:lang w:val="en-US" w:bidi="en-US"/>
    </w:rPr>
  </w:style>
  <w:style w:type="paragraph" w:styleId="PargrafodaLista">
    <w:name w:val="List Paragraph"/>
    <w:basedOn w:val="Normal"/>
    <w:uiPriority w:val="34"/>
    <w:qFormat/>
    <w:rsid w:val="00E93639"/>
    <w:pPr>
      <w:ind w:left="720"/>
      <w:contextualSpacing/>
    </w:pPr>
  </w:style>
  <w:style w:type="paragraph" w:styleId="NormalWeb">
    <w:name w:val="Normal (Web)"/>
    <w:basedOn w:val="Normal"/>
    <w:uiPriority w:val="99"/>
    <w:rsid w:val="00E93639"/>
    <w:pPr>
      <w:spacing w:before="100" w:beforeAutospacing="1" w:after="100" w:afterAutospacing="1" w:line="240" w:lineRule="auto"/>
      <w:ind w:firstLine="360"/>
    </w:pPr>
    <w:rPr>
      <w:rFonts w:ascii="Arial Unicode MS" w:eastAsia="Arial Unicode MS" w:hAnsi="Arial Unicode MS" w:cs="Arial Unicode M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9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9363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w-headline">
    <w:name w:val="mw-headline"/>
    <w:basedOn w:val="Fontepargpadro"/>
    <w:rsid w:val="00E93639"/>
  </w:style>
  <w:style w:type="paragraph" w:styleId="Textodebalo">
    <w:name w:val="Balloon Text"/>
    <w:basedOn w:val="Normal"/>
    <w:link w:val="TextodebaloChar"/>
    <w:uiPriority w:val="99"/>
    <w:semiHidden/>
    <w:unhideWhenUsed/>
    <w:rsid w:val="00E9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639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93639"/>
    <w:pPr>
      <w:autoSpaceDE w:val="0"/>
      <w:autoSpaceDN w:val="0"/>
      <w:adjustRightInd w:val="0"/>
      <w:spacing w:after="0" w:line="240" w:lineRule="auto"/>
      <w:jc w:val="both"/>
    </w:pPr>
    <w:rPr>
      <w:rFonts w:ascii="Verdana" w:eastAsia="Batang" w:hAnsi="Verdana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9363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E93639"/>
  </w:style>
  <w:style w:type="character" w:styleId="Refdecomentrio">
    <w:name w:val="annotation reference"/>
    <w:uiPriority w:val="99"/>
    <w:semiHidden/>
    <w:unhideWhenUsed/>
    <w:rsid w:val="00E936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36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3639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36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3639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nfase">
    <w:name w:val="Emphasis"/>
    <w:uiPriority w:val="20"/>
    <w:qFormat/>
    <w:rsid w:val="00E93639"/>
    <w:rPr>
      <w:i/>
      <w:iCs/>
    </w:rPr>
  </w:style>
  <w:style w:type="character" w:customStyle="1" w:styleId="fontstyle01">
    <w:name w:val="fontstyle01"/>
    <w:rsid w:val="00E93639"/>
    <w:rPr>
      <w:rFonts w:ascii="Helvetica" w:hAnsi="Helvetica" w:cs="Helvetica" w:hint="default"/>
      <w:b w:val="0"/>
      <w:bCs w:val="0"/>
      <w:i w:val="0"/>
      <w:iCs w:val="0"/>
      <w:color w:val="2F2D2E"/>
      <w:sz w:val="24"/>
      <w:szCs w:val="24"/>
    </w:rPr>
  </w:style>
  <w:style w:type="character" w:customStyle="1" w:styleId="fontstyle21">
    <w:name w:val="fontstyle21"/>
    <w:rsid w:val="00E93639"/>
    <w:rPr>
      <w:rFonts w:ascii="Times-Italic" w:hAnsi="Times-Italic" w:hint="default"/>
      <w:b w:val="0"/>
      <w:bCs w:val="0"/>
      <w:i/>
      <w:iCs/>
      <w:color w:val="3A3839"/>
      <w:sz w:val="24"/>
      <w:szCs w:val="24"/>
    </w:rPr>
  </w:style>
  <w:style w:type="character" w:styleId="Hyperlink">
    <w:name w:val="Hyperlink"/>
    <w:uiPriority w:val="99"/>
    <w:unhideWhenUsed/>
    <w:rsid w:val="00E936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bilidade@patobranco.pr.leg.br" TargetMode="External"/><Relationship Id="rId1" Type="http://schemas.openxmlformats.org/officeDocument/2006/relationships/hyperlink" Target="mailto:marciarzanoelo@camarapatobranc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2</cp:revision>
  <dcterms:created xsi:type="dcterms:W3CDTF">2019-07-04T14:46:00Z</dcterms:created>
  <dcterms:modified xsi:type="dcterms:W3CDTF">2019-07-04T14:49:00Z</dcterms:modified>
</cp:coreProperties>
</file>