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Exmo. Sr.</w:t>
      </w:r>
    </w:p>
    <w:p>
      <w:pPr>
        <w:spacing w:after="0" w:line="240" w:lineRule="auto"/>
        <w:rPr>
          <w:rFonts w:ascii="Arial" w:hAnsi="Arial" w:cs="Arial"/>
          <w:b/>
          <w:sz w:val="22"/>
          <w:szCs w:val="22"/>
          <w:highlight w:val="none"/>
        </w:rPr>
      </w:pP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Presidente da Comissão de Orçamento e Fina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n</w:t>
      </w:r>
      <w:r>
        <w:rPr>
          <w:rFonts w:ascii="Arial" w:hAnsi="Arial" w:cs="Arial"/>
          <w:sz w:val="22"/>
          <w:szCs w:val="22"/>
          <w:highlight w:val="none"/>
        </w:rPr>
        <w:t>ças</w:t>
      </w:r>
    </w:p>
    <w:p>
      <w:pPr>
        <w:spacing w:after="0" w:line="240" w:lineRule="auto"/>
        <w:rPr>
          <w:rFonts w:ascii="Arial" w:hAnsi="Arial" w:cs="Arial"/>
          <w:highlight w:val="yellow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sz w:val="22"/>
          <w:szCs w:val="22"/>
          <w:u w:val="single"/>
        </w:rPr>
        <w:t>Projeto de Lei nº</w:t>
      </w:r>
      <w:r>
        <w:rPr>
          <w:rFonts w:hint="default" w:ascii="Arial" w:hAnsi="Arial" w:cs="Arial"/>
          <w:b/>
          <w:sz w:val="22"/>
          <w:szCs w:val="22"/>
          <w:u w:val="single"/>
          <w:lang w:val="pt-BR"/>
        </w:rPr>
        <w:t xml:space="preserve"> 87/2020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que 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>a</w:t>
      </w:r>
      <w:r>
        <w:rPr>
          <w:rFonts w:hint="default" w:ascii="Arial" w:hAnsi="Arial"/>
          <w:color w:val="auto"/>
          <w:sz w:val="22"/>
          <w:szCs w:val="22"/>
        </w:rPr>
        <w:t>ltera Metas Fiscais das Receitas e Despesas do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Anexo 1 - Ações Prioritárias, Funções e Subfunções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de Governo, Objetivos e Metas para o período de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2018 a 2021 , constantes da Lei nº 5.033 de 11 de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 xml:space="preserve">outubro de 2017 e alterações posteriores - </w:t>
      </w:r>
      <w:r>
        <w:rPr>
          <w:rFonts w:hint="default" w:ascii="Arial" w:hAnsi="Arial"/>
          <w:b/>
          <w:bCs/>
          <w:color w:val="auto"/>
          <w:sz w:val="22"/>
          <w:szCs w:val="22"/>
        </w:rPr>
        <w:t>Plano</w:t>
      </w:r>
      <w:r>
        <w:rPr>
          <w:rFonts w:hint="default" w:ascii="Arial" w:hAnsi="Arial"/>
          <w:b/>
          <w:bCs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b/>
          <w:bCs/>
          <w:color w:val="auto"/>
          <w:sz w:val="22"/>
          <w:szCs w:val="22"/>
        </w:rPr>
        <w:t>Plurianual - PPA.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b/>
          <w:highlight w:val="none"/>
          <w:u w:val="single"/>
        </w:rPr>
      </w:pPr>
      <w:r>
        <w:rPr>
          <w:rFonts w:ascii="Arial" w:hAnsi="Arial" w:cs="Arial"/>
          <w:b/>
          <w:highlight w:val="none"/>
          <w:u w:val="single"/>
        </w:rPr>
        <w:t xml:space="preserve">EMENDA </w:t>
      </w:r>
      <w:r>
        <w:rPr>
          <w:rFonts w:hint="default" w:ascii="Arial" w:hAnsi="Arial" w:cs="Arial"/>
          <w:b/>
          <w:highlight w:val="none"/>
          <w:u w:val="single"/>
          <w:lang w:val="pt-BR"/>
        </w:rPr>
        <w:t xml:space="preserve">MODIFICATIVA </w:t>
      </w:r>
      <w:r>
        <w:rPr>
          <w:rFonts w:ascii="Arial" w:hAnsi="Arial" w:cs="Arial"/>
          <w:b/>
          <w:highlight w:val="none"/>
          <w:u w:val="single"/>
        </w:rPr>
        <w:t>Nº</w:t>
      </w:r>
      <w:r>
        <w:rPr>
          <w:rFonts w:hint="default" w:ascii="Arial" w:hAnsi="Arial" w:cs="Arial"/>
          <w:b/>
          <w:highlight w:val="none"/>
          <w:u w:val="single"/>
          <w:lang w:val="pt-BR"/>
        </w:rPr>
        <w:t xml:space="preserve"> 01</w:t>
      </w:r>
      <w:r>
        <w:rPr>
          <w:rFonts w:ascii="Arial" w:hAnsi="Arial" w:cs="Arial"/>
          <w:b/>
          <w:highlight w:val="none"/>
          <w:u w:val="single"/>
        </w:rPr>
        <w:t>.</w:t>
      </w:r>
    </w:p>
    <w:p>
      <w:pPr>
        <w:spacing w:after="0" w:line="240" w:lineRule="auto"/>
        <w:jc w:val="both"/>
        <w:rPr>
          <w:rFonts w:ascii="Arial" w:hAnsi="Arial" w:cs="Arial"/>
          <w:b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highlight w:val="none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>Acrescenta valor a ação</w:t>
      </w:r>
      <w:r>
        <w:rPr>
          <w:rFonts w:ascii="Arial" w:hAnsi="Arial" w:cs="Arial"/>
          <w:sz w:val="22"/>
          <w:szCs w:val="22"/>
          <w:highlight w:val="none"/>
        </w:rPr>
        <w:t xml:space="preserve"> descrita do Plano Plurianual – 20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20</w:t>
      </w:r>
      <w:r>
        <w:rPr>
          <w:rFonts w:ascii="Arial" w:hAnsi="Arial" w:cs="Arial"/>
          <w:sz w:val="22"/>
          <w:szCs w:val="22"/>
          <w:highlight w:val="none"/>
        </w:rPr>
        <w:t xml:space="preserve">/2021, que passará a vigorar com o seguinte teor: </w:t>
      </w:r>
    </w:p>
    <w:tbl>
      <w:tblPr>
        <w:tblStyle w:val="32"/>
        <w:tblW w:w="88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1211"/>
        <w:gridCol w:w="1136"/>
        <w:gridCol w:w="1136"/>
        <w:gridCol w:w="1136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Ação</w:t>
            </w:r>
          </w:p>
        </w:tc>
        <w:tc>
          <w:tcPr>
            <w:tcW w:w="12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2018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2019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2020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2021</w:t>
            </w:r>
          </w:p>
        </w:tc>
        <w:tc>
          <w:tcPr>
            <w:tcW w:w="122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  <w:lang w:val="pt-BR"/>
              </w:rPr>
              <w:t>2.397.000</w:t>
            </w:r>
            <w:r>
              <w:rPr>
                <w:rFonts w:ascii="Arial" w:hAnsi="Arial" w:cs="Arial"/>
                <w:highlight w:val="none"/>
              </w:rPr>
              <w:t xml:space="preserve"> –</w:t>
            </w:r>
            <w:r>
              <w:rPr>
                <w:rFonts w:hint="default" w:ascii="Arial" w:hAnsi="Arial" w:cs="Arial"/>
                <w:highlight w:val="none"/>
                <w:lang w:val="pt-BR"/>
              </w:rPr>
              <w:t xml:space="preserve"> Destinar Recursos para a Aquisição de Cadeiras de Rodas Motorizadas para o Parque de Exposições.</w:t>
            </w:r>
          </w:p>
        </w:tc>
        <w:tc>
          <w:tcPr>
            <w:tcW w:w="12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  <w:t>50.00</w:t>
            </w: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  <w:t>50.00</w:t>
            </w: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0,00</w:t>
            </w:r>
          </w:p>
        </w:tc>
        <w:tc>
          <w:tcPr>
            <w:tcW w:w="122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highlight w:val="none"/>
                <w:lang w:val="pt-BR"/>
              </w:rPr>
              <w:t>100.00</w:t>
            </w: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Fica reduzida da ação abaixo, o valor utilizado acima, passando a vigorar com os seguintes valores:</w:t>
      </w:r>
    </w:p>
    <w:tbl>
      <w:tblPr>
        <w:tblStyle w:val="32"/>
        <w:tblW w:w="8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1211"/>
        <w:gridCol w:w="1136"/>
        <w:gridCol w:w="1136"/>
        <w:gridCol w:w="1136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Ação</w:t>
            </w:r>
          </w:p>
        </w:tc>
        <w:tc>
          <w:tcPr>
            <w:tcW w:w="12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2018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2019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2020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2021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highlight w:val="none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  <w:lang w:val="pt-BR"/>
              </w:rPr>
              <w:t>2</w:t>
            </w:r>
            <w:r>
              <w:rPr>
                <w:rFonts w:ascii="Arial" w:hAnsi="Arial" w:cs="Arial"/>
                <w:highlight w:val="none"/>
              </w:rPr>
              <w:t>.</w:t>
            </w:r>
            <w:r>
              <w:rPr>
                <w:rFonts w:hint="default" w:ascii="Arial" w:hAnsi="Arial" w:cs="Arial"/>
                <w:highlight w:val="none"/>
                <w:lang w:val="pt-BR"/>
              </w:rPr>
              <w:t>18</w:t>
            </w:r>
            <w:r>
              <w:rPr>
                <w:rFonts w:ascii="Arial" w:hAnsi="Arial" w:cs="Arial"/>
                <w:highlight w:val="none"/>
              </w:rPr>
              <w:t xml:space="preserve">0.000 – </w:t>
            </w:r>
            <w:r>
              <w:rPr>
                <w:rFonts w:hint="default" w:ascii="Arial" w:hAnsi="Arial" w:cs="Arial"/>
                <w:highlight w:val="none"/>
                <w:lang w:val="pt-BR"/>
              </w:rPr>
              <w:t>Manutenção das Atividades de Datas Comemorativas</w:t>
            </w:r>
            <w:r>
              <w:rPr>
                <w:rFonts w:ascii="Arial" w:hAnsi="Arial" w:cs="Arial"/>
                <w:highlight w:val="none"/>
              </w:rPr>
              <w:t>.</w:t>
            </w:r>
          </w:p>
        </w:tc>
        <w:tc>
          <w:tcPr>
            <w:tcW w:w="12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none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1.970.000,00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none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1.843.500,00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none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1.497.000,00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none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2.250.500,00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15"/>
                <w:szCs w:val="15"/>
                <w:highlight w:val="none"/>
                <w:lang w:val="pt-BR"/>
              </w:rPr>
              <w:t>7.561.000,00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  <w:u w:val="single"/>
        </w:rPr>
        <w:t>OBS:</w:t>
      </w:r>
      <w:r>
        <w:rPr>
          <w:rFonts w:ascii="Arial" w:hAnsi="Arial" w:cs="Arial"/>
          <w:sz w:val="22"/>
          <w:szCs w:val="22"/>
          <w:highlight w:val="none"/>
        </w:rPr>
        <w:t xml:space="preserve"> Não observadas às demais emendas que deduzem valores dessa mesma ação.</w:t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>Nestes termos, pede deferimento.</w:t>
      </w:r>
    </w:p>
    <w:p>
      <w:pPr>
        <w:spacing w:after="0" w:line="240" w:lineRule="auto"/>
        <w:jc w:val="both"/>
        <w:rPr>
          <w:rFonts w:ascii="Arial" w:hAnsi="Arial" w:cs="Arial" w:eastAsiaTheme="minorHAns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>Pato Branco,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30 de junho </w:t>
      </w:r>
      <w:r>
        <w:rPr>
          <w:rFonts w:ascii="Arial" w:hAnsi="Arial" w:cs="Arial"/>
          <w:sz w:val="22"/>
          <w:szCs w:val="22"/>
          <w:highlight w:val="none"/>
        </w:rPr>
        <w:t>de 20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20</w:t>
      </w:r>
      <w:r>
        <w:rPr>
          <w:rFonts w:ascii="Arial" w:hAnsi="Arial" w:cs="Arial"/>
          <w:sz w:val="22"/>
          <w:szCs w:val="22"/>
          <w:highlight w:val="none"/>
        </w:rPr>
        <w:t xml:space="preserve">. </w:t>
      </w: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1417"/>
        <w:jc w:val="both"/>
        <w:textAlignment w:val="auto"/>
        <w:rPr>
          <w:rFonts w:ascii="Arial" w:hAnsi="Arial" w:cs="Arial" w:eastAsiaTheme="minorHAnsi"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1417"/>
        <w:jc w:val="center"/>
        <w:textAlignment w:val="auto"/>
        <w:rPr>
          <w:rFonts w:hint="default"/>
          <w:sz w:val="24"/>
          <w:szCs w:val="24"/>
          <w:lang w:val="pt-BR"/>
        </w:rPr>
      </w:pPr>
      <w:r>
        <w:rPr>
          <w:rFonts w:hint="default" w:ascii="Arial" w:hAnsi="Arial" w:cs="Arial" w:eastAsiaTheme="minorHAnsi"/>
          <w:sz w:val="24"/>
          <w:szCs w:val="24"/>
          <w:lang w:val="pt-BR" w:eastAsia="en-US"/>
        </w:rPr>
        <w:drawing>
          <wp:inline distT="0" distB="0" distL="114300" distR="114300">
            <wp:extent cx="2302510" cy="1393190"/>
            <wp:effectExtent l="0" t="0" r="2540" b="16510"/>
            <wp:docPr id="1" name="Imagem 1" descr="Vilmar Macc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Vilmar Maccari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23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473700" cy="667385"/>
          <wp:effectExtent l="0" t="0" r="0" b="0"/>
          <wp:docPr id="23" name="Imagem 22" descr="Timbrado - Vereador Macc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Timbrado - Vereador Maccar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37437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7A87C76"/>
    <w:rsid w:val="091107DA"/>
    <w:rsid w:val="13D02967"/>
    <w:rsid w:val="1B7F6EA4"/>
    <w:rsid w:val="23613C53"/>
    <w:rsid w:val="23BC77D2"/>
    <w:rsid w:val="26187825"/>
    <w:rsid w:val="27395F5F"/>
    <w:rsid w:val="292B2842"/>
    <w:rsid w:val="292E4440"/>
    <w:rsid w:val="295248E6"/>
    <w:rsid w:val="2A482B4D"/>
    <w:rsid w:val="2C6A5DE6"/>
    <w:rsid w:val="2D6C6DC4"/>
    <w:rsid w:val="2F5C6A72"/>
    <w:rsid w:val="35971AF1"/>
    <w:rsid w:val="36594628"/>
    <w:rsid w:val="3CC04DA9"/>
    <w:rsid w:val="40C3065C"/>
    <w:rsid w:val="47C90C8F"/>
    <w:rsid w:val="4B614AB1"/>
    <w:rsid w:val="57B90ADC"/>
    <w:rsid w:val="5C292E90"/>
    <w:rsid w:val="5DF95E10"/>
    <w:rsid w:val="61987DE2"/>
    <w:rsid w:val="62741BF9"/>
    <w:rsid w:val="696260D7"/>
    <w:rsid w:val="6CD64745"/>
    <w:rsid w:val="72220469"/>
    <w:rsid w:val="758A22EF"/>
    <w:rsid w:val="76904233"/>
    <w:rsid w:val="790D5DF9"/>
    <w:rsid w:val="7BA11BDF"/>
    <w:rsid w:val="7F1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EFAF7-94C6-4501-B07F-673CEBA9A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101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2019-04-04T13:47:00Z</dcterms:created>
  <dc:creator>User</dc:creator>
  <cp:lastModifiedBy>Usuario</cp:lastModifiedBy>
  <cp:lastPrinted>2019-03-26T17:07:00Z</cp:lastPrinted>
  <dcterms:modified xsi:type="dcterms:W3CDTF">2020-06-30T16:12:06Z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</Properties>
</file>