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C8A8">
      <w:pPr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Excelentíssimo Senhor</w:t>
      </w:r>
    </w:p>
    <w:p w14:paraId="5055B70F">
      <w:pPr>
        <w:jc w:val="both"/>
        <w:rPr>
          <w:rFonts w:hint="default" w:ascii="Calibri" w:hAnsi="Calibri" w:eastAsia="Arial" w:cs="Calibri"/>
          <w:b/>
          <w:color w:val="000000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 w:cs="Calibri"/>
          <w:b/>
          <w:color w:val="000000"/>
          <w:sz w:val="22"/>
          <w:szCs w:val="22"/>
          <w:vertAlign w:val="baseline"/>
          <w:rtl w:val="0"/>
          <w:lang w:val="pt-BR"/>
        </w:rPr>
        <w:t>JOECIR BERNARDI</w:t>
      </w:r>
    </w:p>
    <w:p w14:paraId="4FCAEC2F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Presidente da Câmara Municipal de Pato Branco</w:t>
      </w:r>
    </w:p>
    <w:p w14:paraId="041997EC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FA1A1D2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7B3D1E97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3B61A68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62200369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D8AC23E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45E1795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both"/>
        <w:rPr>
          <w:rFonts w:hint="default" w:ascii="Calibri" w:hAnsi="Calibri" w:eastAsia="Arial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3B110FDC">
      <w:pPr>
        <w:ind w:left="-142" w:firstLine="1702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 xml:space="preserve">O vereador que abaixo assina, </w:t>
      </w: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Claudemir Zanco - PL, </w:t>
      </w: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no uso de suas prerrogativas legais e regimentais, apresenta para a apreciação do douto Plenário e solicita apoio dos nobres pares para a aprovação do seguinte Projeto de Lei:</w:t>
      </w:r>
    </w:p>
    <w:p w14:paraId="7F6592C0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</w:p>
    <w:p w14:paraId="288DE035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</w:p>
    <w:p w14:paraId="57A25D28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PROJETO DE LEI </w:t>
      </w:r>
    </w:p>
    <w:p w14:paraId="0ADF99DE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22581392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441D2B45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71AB5108">
      <w:pPr>
        <w:ind w:left="4000" w:leftChars="2000" w:firstLine="0" w:firstLineChars="0"/>
        <w:jc w:val="both"/>
        <w:rPr>
          <w:rFonts w:hint="default" w:ascii="Calibri" w:hAnsi="Calibri" w:eastAsia="Arial" w:cs="Calibri"/>
          <w:sz w:val="22"/>
          <w:szCs w:val="22"/>
          <w:vertAlign w:val="baseline"/>
          <w:lang w:val="pt-BR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I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nstitui no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m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unicípio de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Pato Branco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Programa Cartão Material Escolar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 dá outras providências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.</w:t>
      </w:r>
    </w:p>
    <w:p w14:paraId="75271342">
      <w:pPr>
        <w:ind w:left="4000" w:firstLine="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36ED4CD9">
      <w:pPr>
        <w:ind w:left="4000" w:firstLine="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67F95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Art. 1º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Fica o Poder Executivo autorizado a instituir no município de Pato Branco 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Programa Cartão Material Escolar, de garantia do acesso de estudantes da rede pública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municipal de ensino aos materiais escolares necessários, promoção de inclusão social eestímulo à educação.</w:t>
      </w:r>
    </w:p>
    <w:p w14:paraId="07EA3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Parágrafo único. O valor será disponibilizado por meio de cartão magnético ou outra</w:t>
      </w:r>
    </w:p>
    <w:p w14:paraId="2BA56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tecnologia equivalente, fornecido pela Prefeitura Municipal, sendo de uso exclusivo nos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estabelecimentos comerciais locais previamente credenciados junto ao Município.</w:t>
      </w:r>
    </w:p>
    <w:p w14:paraId="4BAC2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2°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Programa Cartão Material Escolar consiste na concessão de um crédito, por meio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de cartão magnético ou outra tecnologia similar, destinado exclusivamente à aquisição dos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materiais escolares básicos indicados pela Secretaria Municipal de Educação, a serem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utilizados pelos alunos da Rede Municipal de Educação.</w:t>
      </w:r>
    </w:p>
    <w:p w14:paraId="6425F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3°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programa será coordenado pela Secretaria Municipal de Educação, que ficará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responsável por:</w:t>
      </w:r>
    </w:p>
    <w:p w14:paraId="20ABB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 - Elaborar a lista dos materiais permitidos para aquisição;</w:t>
      </w:r>
    </w:p>
    <w:p w14:paraId="3E666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II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- Controlar o repasse e o uso dos valores concedidos;</w:t>
      </w:r>
    </w:p>
    <w:p w14:paraId="387E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III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- Fiscalizar os estabelecimentos credenciados;</w:t>
      </w:r>
    </w:p>
    <w:p w14:paraId="2CB5E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IV- Garantir a transparência e a publicidade dos atos relacionados à execução do</w:t>
      </w:r>
    </w:p>
    <w:p w14:paraId="520F4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programa.</w:t>
      </w:r>
    </w:p>
    <w:p w14:paraId="44A34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1° A Secretaria Municipal de Educação deverá fornecer a lista de materiais escolares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básicos para os pais e/ou responsáveis dos alunos, bem como disponibilizá-Ia no site oficial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do Município.</w:t>
      </w:r>
    </w:p>
    <w:p w14:paraId="67C1E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2° As listas de materiais escolares indicadas pela Secretaria Municipal da Educação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poderão ser revistas e alteradas anualmente por meio de ato do Poder Executivo, sempre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que necessário, para atendimento da proposta pedagógica.</w:t>
      </w:r>
    </w:p>
    <w:p w14:paraId="7DC50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4°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cartão magnético ou outra tecnologia equivalente, será destinado exclusivamente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à aquisição direta de material escolar, funcionará como cartão de débito e será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disponibilizado a cada aluno, por meio de seus pais e/ou responsáveis legais.</w:t>
      </w:r>
    </w:p>
    <w:p w14:paraId="5491A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1° O cartão magnético ou outra tecnologia equivalente deverá conter, obrigatoriamente,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o nome do aluno, o número do Cadastro de Pessoa Física - CPF de seu responsável legal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 o código do Instituto Nacional de Estudos e Pesquisas Educacionais Anísio Teixeira -INEP.</w:t>
      </w:r>
    </w:p>
    <w:p w14:paraId="14127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2° O cartão ou outra tecnologia equivalente será cancelado automaticamente, nas</w:t>
      </w:r>
    </w:p>
    <w:p w14:paraId="5ACA9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seguintes hipóteses:</w:t>
      </w:r>
    </w:p>
    <w:p w14:paraId="68CBC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 -quando da solicitação de transferência do aluno para unidade escolar que não pertença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à Rede Municipal de Ensino;</w:t>
      </w:r>
    </w:p>
    <w:p w14:paraId="7E610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II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-após 30 (trinta) dias de faltas injustificadas do aluno, ininterruptas ou não; ou</w:t>
      </w:r>
    </w:p>
    <w:p w14:paraId="0F5DD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III-pelo uso inadequado do cartão e/ou pela aquisição de produtos não especificados na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lista estabelecida pela Secretaria Municipal de Educação.</w:t>
      </w:r>
    </w:p>
    <w:p w14:paraId="27BC6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5°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A aquisição dos materiais escolares por meio do cartão ou de outra tecnologia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equivalente poderá ser realizada em qualquer estabelecimento comercial varejista de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artigos de papelaria e material escolar, sediado e registrado no município, com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credenciamento prévio nos termos previstos em decreto do Poder Executivo.</w:t>
      </w:r>
    </w:p>
    <w:p w14:paraId="7A76E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6°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A partir da liberação do recurso (saldo), é de responsabilidade única e exclusiva da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família:</w:t>
      </w:r>
    </w:p>
    <w:p w14:paraId="1DB15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 - aquisição do material;</w:t>
      </w:r>
    </w:p>
    <w:p w14:paraId="468EF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II - organização do material para uso pelo estudante;</w:t>
      </w:r>
    </w:p>
    <w:p w14:paraId="68742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III - que o estudante esteja de posse do material durante as aulas; e</w:t>
      </w:r>
    </w:p>
    <w:p w14:paraId="3F5F8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IV - ciência de que não haverá reposição do material pela unidade de ensino.</w:t>
      </w:r>
    </w:p>
    <w:p w14:paraId="0C517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7°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valor do recurso financeiro a ser creditado anualmente no cartão magnético ououtra tecnologia equivalente ficará disponível para utilização pelo prazo estipulado em</w:t>
      </w:r>
    </w:p>
    <w:p w14:paraId="2D8AF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decreto do Poder Executivo, findo o qual, deverá retornar aos cofres públicos.</w:t>
      </w:r>
    </w:p>
    <w:p w14:paraId="6710E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§ 1° O valor do crédito do cartão será fixado no decreto do Poder Executivo,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considerando-se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o custo médio estimado do material escolar verificado no início do período do ano letivo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.</w:t>
      </w:r>
    </w:p>
    <w:p w14:paraId="23808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2° O valor disponível do cartão poderá ser utilizado em mais de um estabelecimento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comercial, de livre escolha do beneficiário, observado o disposto no artigo 4° desta Lei.</w:t>
      </w:r>
    </w:p>
    <w:p w14:paraId="3939C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§ 3° O recurso disponibilizado será o equivalente à compra no varejo, apenas dos itens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constantes da lista de materiais escolares básicos, com descrição de cada item e seu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respectivo valor médio aferido em pesquisa, sendo vedada a inclusão de itens de uso coletivo.</w:t>
      </w:r>
    </w:p>
    <w:p w14:paraId="11C35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8°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Estarão sujeitos às sanções administrativas, cíveis e criminais os pais ouresponsáveis legai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s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dos beneficiários, quando efetivamente ficar comprovada fraude nautilização do Cartão Material Escolar.</w:t>
      </w:r>
    </w:p>
    <w:p w14:paraId="7CCF9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Parágrafo único. Para os fins do disposto no caput deste artigo, uma vez verificada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qualquer irregularidade na utilização do benefício de que trata esta Lei, será instaurado 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competente processo administrativo e, havendo constatação de práticas irregulares no uso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do cartão, o caso será encaminhado para as autoridades competentes para que sejam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tomadas as providências legais cabíveis.</w:t>
      </w:r>
    </w:p>
    <w:p w14:paraId="3BADE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9°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Será facultado aos pais ou responsáveis declinarem do benefício objeto desta Lei,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por meio de declaração optativa.</w:t>
      </w:r>
    </w:p>
    <w:p w14:paraId="2670F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10</w:t>
      </w: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  <w:lang w:val="pt-BR"/>
        </w:rPr>
        <w:t xml:space="preserve"> -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Em caso de abandono e/ou evasão escolar, o responsável legal deverá restituir os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valores recebidos por meio do Cartão Material Escolar aos cofres públicos.</w:t>
      </w:r>
    </w:p>
    <w:p w14:paraId="67D28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11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-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Fica o Poder Executivo Municipal autorizado, mediante licitação, a contratar</w:t>
      </w:r>
    </w:p>
    <w:p w14:paraId="0C74A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empresa e/ou instituição para a implantação do sistema, que irá operacionalizar e manterem funcionamento o Programa Cartão Material Escolar.</w:t>
      </w:r>
    </w:p>
    <w:p w14:paraId="02DB7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 w:cs="Calibri"/>
          <w:b/>
          <w:bCs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 xml:space="preserve">Art. </w:t>
      </w: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  <w:lang w:val="pt-BR"/>
        </w:rPr>
        <w:t>12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 xml:space="preserve">-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Esta Lei entra em vigor na data de sua publicação.</w:t>
      </w:r>
    </w:p>
    <w:p w14:paraId="5D9F73F8">
      <w:pPr>
        <w:spacing w:after="30"/>
        <w:ind w:firstLine="1400"/>
        <w:jc w:val="right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 </w:t>
      </w:r>
    </w:p>
    <w:p w14:paraId="5A5992A9">
      <w:pPr>
        <w:spacing w:after="30"/>
        <w:ind w:firstLine="1400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Pato Branco, datado e assinado digitalmente.</w:t>
      </w:r>
    </w:p>
    <w:p w14:paraId="136745E9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           </w:t>
      </w:r>
    </w:p>
    <w:p w14:paraId="76F8BC35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630720D3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078DD35D">
      <w:pPr>
        <w:spacing w:after="30"/>
        <w:jc w:val="center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5D820A2E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  <w:r>
        <w:rPr>
          <w:rFonts w:hint="default" w:ascii="Calibri" w:hAnsi="Calibri" w:cs="Calibri"/>
        </w:rPr>
        <w:br w:type="page"/>
      </w: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>JUSTIFICATIVA</w:t>
      </w:r>
    </w:p>
    <w:p w14:paraId="1ADE1017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41AFBE7C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4E57FA8C">
      <w:pPr>
        <w:ind w:left="0" w:right="0" w:firstLine="708"/>
        <w:jc w:val="both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007A4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O presente Projeto de Lei tem por objetivo instituir, no Município de Pato Branco, o Programa Cartão Material Escolar, como instrumento de garantia do acesso universal e igualitário aos materiais escolares básicos pelos alunos da rede pública municipal de ensino.</w:t>
      </w:r>
    </w:p>
    <w:p w14:paraId="3A387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bookmarkStart w:id="0" w:name="_GoBack"/>
      <w:bookmarkEnd w:id="0"/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É sabido que a falta de material escolar adequado compromete diretamente o processo de aprendizagem, a permanência do aluno em sala de aula e a qualidade do ensino ofertado. Muitas famílias enfrentam dificuldades financeiras no início do ano letivo, período em que os gastos se concentram, o que acaba gerando desigualdades entre os estudantes e impactos negativos no rendimento escolar.</w:t>
      </w:r>
    </w:p>
    <w:p w14:paraId="2AAAB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O Programa Cartão Material Escolar surge como uma alternativa moderna, eficiente e transparente, permitindo que os recursos públicos sejam utilizados de forma direcionada, exclusivamente para a aquisição dos itens necessários ao desenvolvimento das atividades pedagógicas, conforme lista previamente definida pela Secretaria Municipal de Educação. Além disso, o modelo assegura maior autonomia às famílias, que poderão adquirir os materiais de acordo com as reais necessidades do estudante.</w:t>
      </w:r>
    </w:p>
    <w:p w14:paraId="3E64B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Ressalta-se, ainda, que a proposta promove o fomento ao comércio local, uma vez que o benefício deverá ser utilizado exclusivamente em estabelecimentos comerciais do município previamente credenciados, especialmente papelarias e lojas de material escolar, fortalecendo a economia local, incentivando a geração de emprego e renda e garantindo que os recursos públicos permaneçam circulando dentro do próprio Município.</w:t>
      </w:r>
    </w:p>
    <w:p w14:paraId="3C98D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Outro aspecto relevante da proposta é o fortalecimento da transparência e do controle dos gastos públicos, ao prever mecanismos de fiscalização, prestação de contas, cancelamento do benefício em caso de uso indevido e responsabilização dos responsáveis em situações de fraude ou evasão escolar.</w:t>
      </w:r>
    </w:p>
    <w:p w14:paraId="43C4E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Importante destacar que o projeto respeita a competência administrativa do Poder Executivo, delegando a regulamentação dos valores, prazos e procedimentos operacionais por meio de decreto, garantindo flexibilidade e adequação às condições orçamentárias do Município.</w:t>
      </w:r>
    </w:p>
    <w:p w14:paraId="028DC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Dessa forma, o Programa Cartão Material Escolar representa um avanço nas políticas públicas educacionais e econômicas, promovendo inclusão social, igualdade de oportunidades, valorização da educação e fortalecimento do comércio local de Pato Branco.</w:t>
      </w:r>
    </w:p>
    <w:p w14:paraId="2DA67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 w:cs="Arial"/>
          <w:b w:val="0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Diante da relevância social, educacional e econômica da proposta, contamos com o apoio dos nobres pares para a aprovação deste Projeto de Lei.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61" w:right="1406" w:bottom="1418" w:left="1501" w:header="170" w:footer="28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EA9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                 </w:t>
    </w:r>
  </w:p>
  <w:p w14:paraId="712CD2F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distT="0" distB="0" distL="114300" distR="114300">
          <wp:extent cx="5407025" cy="655320"/>
          <wp:effectExtent l="0" t="0" r="0" b="0"/>
          <wp:docPr id="4" name="image1.png" descr="Timbrado - Vereador Birub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Timbrado - Vereador Birub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7025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1BB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0CD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6F8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                       </w:t>
    </w:r>
  </w:p>
  <w:p w14:paraId="7323B53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</w: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distT="0" distB="0" distL="114300" distR="114300">
          <wp:extent cx="3491230" cy="65214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123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FFF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53C5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65D78B4"/>
    <w:rsid w:val="06A4289B"/>
    <w:rsid w:val="0942143F"/>
    <w:rsid w:val="09DA3E73"/>
    <w:rsid w:val="0D5849FE"/>
    <w:rsid w:val="129F0CE9"/>
    <w:rsid w:val="13D07F0E"/>
    <w:rsid w:val="170049DA"/>
    <w:rsid w:val="178D101E"/>
    <w:rsid w:val="1B231D84"/>
    <w:rsid w:val="1D6F6361"/>
    <w:rsid w:val="1E456DD7"/>
    <w:rsid w:val="21C57FF4"/>
    <w:rsid w:val="221D1D08"/>
    <w:rsid w:val="23F05C53"/>
    <w:rsid w:val="258F39B1"/>
    <w:rsid w:val="27EA3CD4"/>
    <w:rsid w:val="28FE6A4D"/>
    <w:rsid w:val="2E953B7B"/>
    <w:rsid w:val="392D67DD"/>
    <w:rsid w:val="3F674671"/>
    <w:rsid w:val="463C39CB"/>
    <w:rsid w:val="484129AC"/>
    <w:rsid w:val="4B735992"/>
    <w:rsid w:val="4BC73CDE"/>
    <w:rsid w:val="520021EA"/>
    <w:rsid w:val="579E0E96"/>
    <w:rsid w:val="587F332E"/>
    <w:rsid w:val="5BF47785"/>
    <w:rsid w:val="5C705A65"/>
    <w:rsid w:val="5DEE5DA8"/>
    <w:rsid w:val="61863410"/>
    <w:rsid w:val="62E53D41"/>
    <w:rsid w:val="64142FB0"/>
    <w:rsid w:val="65B30CBC"/>
    <w:rsid w:val="66470EAC"/>
    <w:rsid w:val="694330B3"/>
    <w:rsid w:val="6D7D7DF6"/>
    <w:rsid w:val="6DE34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2"/>
      <w:szCs w:val="22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:sz w:val="22"/>
      <w:szCs w:val="22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Subtitle"/>
    <w:basedOn w:val="1"/>
    <w:next w:val="1"/>
    <w:link w:val="27"/>
    <w:qFormat/>
    <w:uiPriority w:val="11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qFormat/>
    <w:uiPriority w:val="0"/>
  </w:style>
  <w:style w:type="character" w:customStyle="1" w:styleId="17">
    <w:name w:val="Título 1 Char"/>
    <w:basedOn w:val="11"/>
    <w:link w:val="2"/>
    <w:qFormat/>
    <w:uiPriority w:val="9"/>
    <w:rPr>
      <w:rFonts w:asciiTheme="minorHAnsi" w:hAnsiTheme="minorHAnsi" w:eastAsiaTheme="minorHAnsi" w:cstheme="minorBidi"/>
      <w:b/>
      <w:sz w:val="48"/>
      <w:szCs w:val="48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inorHAnsi" w:hAnsiTheme="minorHAnsi" w:eastAsiaTheme="minorHAnsi" w:cstheme="minorBidi"/>
      <w:b/>
      <w:sz w:val="36"/>
      <w:szCs w:val="36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asciiTheme="minorHAnsi" w:hAnsiTheme="minorHAnsi" w:eastAsiaTheme="minorHAnsi" w:cstheme="minorBidi"/>
      <w:b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asciiTheme="minorHAnsi" w:hAnsiTheme="minorHAnsi" w:eastAsiaTheme="minorHAnsi" w:cstheme="minorBidi"/>
      <w:b/>
      <w:sz w:val="24"/>
      <w:szCs w:val="24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asciiTheme="minorHAnsi" w:hAnsiTheme="minorHAnsi" w:eastAsiaTheme="minorHAnsi" w:cstheme="minorBidi"/>
      <w:b/>
      <w:sz w:val="22"/>
      <w:szCs w:val="22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asciiTheme="minorHAnsi" w:hAnsiTheme="minorHAnsi" w:eastAsiaTheme="minorHAnsi" w:cstheme="minorBidi"/>
      <w:b/>
      <w:sz w:val="20"/>
      <w:szCs w:val="20"/>
    </w:rPr>
  </w:style>
  <w:style w:type="character" w:customStyle="1" w:styleId="23">
    <w:name w:val="Título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inorHAnsi" w:hAnsiTheme="minorHAnsi" w:eastAsiaTheme="minorHAnsi" w:cstheme="minorBidi"/>
      <w:b/>
      <w:sz w:val="72"/>
      <w:szCs w:val="72"/>
    </w:rPr>
  </w:style>
  <w:style w:type="character" w:customStyle="1" w:styleId="27">
    <w:name w:val="Subtítulo Char"/>
    <w:basedOn w:val="11"/>
    <w:link w:val="14"/>
    <w:qFormat/>
    <w:uiPriority w:val="11"/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ação Char"/>
    <w:basedOn w:val="11"/>
    <w:link w:val="28"/>
    <w:qFormat/>
    <w:uiPriority w:val="29"/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 w:bidi="ar-SA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rFonts w:asciiTheme="minorHAnsi" w:hAnsiTheme="minorHAnsi" w:eastAsiaTheme="minorHAnsi" w:cstheme="minorBidi"/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376092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33">
    <w:name w:val="Citação Intensa Char"/>
    <w:basedOn w:val="11"/>
    <w:link w:val="32"/>
    <w:qFormat/>
    <w:uiPriority w:val="30"/>
    <w:rPr>
      <w:rFonts w:asciiTheme="minorHAnsi" w:hAnsiTheme="minorHAnsi" w:eastAsiaTheme="minorHAnsi" w:cstheme="minorBidi"/>
      <w:i/>
      <w:iCs/>
      <w:color w:val="376092" w:themeColor="accent1" w:themeShade="BF"/>
    </w:rPr>
  </w:style>
  <w:style w:type="character" w:customStyle="1" w:styleId="34">
    <w:name w:val="Intense Reference"/>
    <w:basedOn w:val="11"/>
    <w:qFormat/>
    <w:uiPriority w:val="32"/>
    <w:rPr>
      <w:rFonts w:asciiTheme="minorHAnsi" w:hAnsiTheme="minorHAnsi" w:eastAsiaTheme="minorHAnsi" w:cstheme="minorBidi"/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604</Words>
  <Characters>2966</Characters>
  <TotalTime>56</TotalTime>
  <ScaleCrop>false</ScaleCrop>
  <LinksUpToDate>false</LinksUpToDate>
  <CharactersWithSpaces>3562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2024-04-19T16:34:00Z</dcterms:created>
  <dc:creator>Andrea</dc:creator>
  <cp:lastModifiedBy>Andrea</cp:lastModifiedBy>
  <dcterms:modified xsi:type="dcterms:W3CDTF">2026-01-30T19:14:12Z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E94779E963BF40018CAC0C10234B337E_13</vt:lpwstr>
  </property>
</Properties>
</file>